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3B4FC74C" w:rsidR="00915240" w:rsidRPr="007A2A50" w:rsidRDefault="00B63C01"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Design &amp; Technology</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44261C42"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proofErr w:type="spellStart"/>
            <w:r w:rsidR="00B63C01">
              <w:rPr>
                <w:rFonts w:ascii="Calibri" w:hAnsi="Calibri" w:cs="Calibri"/>
                <w:b/>
                <w:sz w:val="24"/>
                <w:szCs w:val="24"/>
              </w:rPr>
              <w:t>Mrs</w:t>
            </w:r>
            <w:proofErr w:type="spellEnd"/>
            <w:r w:rsidR="00B63C01">
              <w:rPr>
                <w:rFonts w:ascii="Calibri" w:hAnsi="Calibri" w:cs="Calibri"/>
                <w:b/>
                <w:sz w:val="24"/>
                <w:szCs w:val="24"/>
              </w:rPr>
              <w:t xml:space="preserve"> L Spring</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F5BB129" w14:textId="77777777" w:rsidR="00CD61C1" w:rsidRPr="00CD61C1" w:rsidRDefault="00CD61C1" w:rsidP="00CD61C1">
            <w:pPr>
              <w:rPr>
                <w:rFonts w:asciiTheme="majorHAnsi" w:hAnsiTheme="majorHAnsi" w:cstheme="majorHAnsi"/>
                <w:b/>
                <w:bCs/>
              </w:rPr>
            </w:pPr>
            <w:r w:rsidRPr="00CD61C1">
              <w:rPr>
                <w:rFonts w:asciiTheme="majorHAnsi" w:hAnsiTheme="majorHAnsi" w:cstheme="majorHAnsi"/>
                <w:b/>
                <w:bCs/>
              </w:rPr>
              <w:t>Intent</w:t>
            </w:r>
          </w:p>
          <w:p w14:paraId="1BA83AE1" w14:textId="77777777" w:rsidR="00CD61C1" w:rsidRPr="00CD61C1" w:rsidRDefault="00CD61C1" w:rsidP="00CD61C1">
            <w:pPr>
              <w:rPr>
                <w:rFonts w:asciiTheme="majorHAnsi" w:hAnsiTheme="majorHAnsi" w:cstheme="majorHAnsi"/>
              </w:rPr>
            </w:pPr>
            <w:r w:rsidRPr="00CD61C1">
              <w:rPr>
                <w:rFonts w:asciiTheme="majorHAnsi" w:hAnsiTheme="majorHAnsi" w:cstheme="majorHAnsi"/>
              </w:rPr>
              <w:t xml:space="preserve">At Ormiston Cliff Park Primary Academy, our Design and Technology (DT) curriculum is designed to inspire pupils to be creative, resourceful and become practical problem-solvers. We aim to develop children’s skills, knowledge and understanding of designing, making and evaluating products that solve real and relevant problems within a variety of contexts. Wherever possible, we aim to link lessons to other disciplines such as mathematics, science, engineering, computing and art. </w:t>
            </w:r>
          </w:p>
          <w:p w14:paraId="1FE77A12" w14:textId="77777777" w:rsidR="00CD61C1" w:rsidRPr="00CD61C1" w:rsidRDefault="00CD61C1" w:rsidP="00CD61C1">
            <w:pPr>
              <w:rPr>
                <w:rFonts w:asciiTheme="majorHAnsi" w:hAnsiTheme="majorHAnsi" w:cstheme="majorHAnsi"/>
              </w:rPr>
            </w:pPr>
            <w:r w:rsidRPr="00CD61C1">
              <w:rPr>
                <w:rFonts w:asciiTheme="majorHAnsi" w:hAnsiTheme="majorHAnsi" w:cstheme="majorHAnsi"/>
              </w:rPr>
              <w:t>We encourage children to become innovators and risk takers, reflect on past and present designs to improve its effectiveness. Using different materials, textiles, structure, mechanisms and food technology, children can develop the technical knowledge and practical skills to thrive in society. They can gain a solid understanding of the process behind the creation of a product from idea to final design and learn that resilience is key during this process.</w:t>
            </w:r>
          </w:p>
          <w:p w14:paraId="0E42BE16" w14:textId="77777777" w:rsidR="00CD61C1" w:rsidRPr="00CD61C1" w:rsidRDefault="00CD61C1" w:rsidP="00CD61C1">
            <w:pPr>
              <w:rPr>
                <w:rFonts w:asciiTheme="majorHAnsi" w:hAnsiTheme="majorHAnsi" w:cstheme="majorHAnsi"/>
              </w:rPr>
            </w:pPr>
            <w:r w:rsidRPr="00CD61C1">
              <w:rPr>
                <w:rFonts w:asciiTheme="majorHAnsi" w:hAnsiTheme="majorHAnsi" w:cstheme="majorHAnsi"/>
              </w:rPr>
              <w:t>Inclusion is at the heart of our DT curriculum. Every child, regardless of background, ability, or need, has access to engaging and high-quality DT learning. Lessons are carefully adapted to ensure that all pupils can participate and achieve success through the initial design process, through the creation and evaluation phase. Our inclusive approach celebrates diversity and encourages all learners to think like designers, creators and problem solvers, essential skills for engineers and mathematicians.</w:t>
            </w:r>
          </w:p>
          <w:p w14:paraId="318318A7" w14:textId="77777777" w:rsidR="00CD61C1" w:rsidRPr="00CD61C1" w:rsidRDefault="00CD61C1" w:rsidP="00CD61C1">
            <w:pPr>
              <w:rPr>
                <w:rFonts w:asciiTheme="majorHAnsi" w:hAnsiTheme="majorHAnsi" w:cstheme="majorHAnsi"/>
              </w:rPr>
            </w:pPr>
            <w:r w:rsidRPr="00CD61C1">
              <w:rPr>
                <w:rFonts w:asciiTheme="majorHAnsi" w:hAnsiTheme="majorHAnsi" w:cstheme="majorHAnsi"/>
              </w:rPr>
              <w:t>In the Early Years, children explore DT through play and hands-on experiences, learning about the world around them and developing curiosity about how products are made. These early foundations are built upon throughout Key Stages 1 and 2, where pupils deepen their understanding of how products are made through observation, investigation and creation.</w:t>
            </w:r>
          </w:p>
          <w:p w14:paraId="08E74DEE" w14:textId="1566AF31" w:rsidR="00FF06F9" w:rsidRPr="007A2A50" w:rsidRDefault="00FF06F9" w:rsidP="003C61E7">
            <w:pPr>
              <w:widowControl w:val="0"/>
              <w:pBdr>
                <w:top w:val="nil"/>
                <w:left w:val="nil"/>
                <w:bottom w:val="nil"/>
                <w:right w:val="nil"/>
                <w:between w:val="nil"/>
              </w:pBdr>
              <w:spacing w:line="240" w:lineRule="auto"/>
              <w:rPr>
                <w:rFonts w:ascii="Calibri" w:hAnsi="Calibri" w:cs="Calibri"/>
              </w:rPr>
            </w:pP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1DC8B02C" w14:textId="77777777" w:rsidR="00DF6BDF" w:rsidRPr="00DF6BDF" w:rsidRDefault="00DF6BDF" w:rsidP="00DF6BDF">
            <w:pPr>
              <w:widowControl w:val="0"/>
              <w:pBdr>
                <w:top w:val="nil"/>
                <w:left w:val="nil"/>
                <w:bottom w:val="nil"/>
                <w:right w:val="nil"/>
                <w:between w:val="nil"/>
              </w:pBdr>
              <w:spacing w:line="240" w:lineRule="auto"/>
              <w:rPr>
                <w:rFonts w:ascii="Calibri" w:hAnsi="Calibri" w:cs="Calibri"/>
                <w:lang w:val="en-GB"/>
              </w:rPr>
            </w:pPr>
            <w:r w:rsidRPr="00DF6BDF">
              <w:rPr>
                <w:rFonts w:ascii="Calibri" w:hAnsi="Calibri" w:cs="Calibri"/>
                <w:lang w:val="en-GB"/>
              </w:rPr>
              <w:t>Implementation</w:t>
            </w:r>
          </w:p>
          <w:p w14:paraId="371B51CA" w14:textId="77777777" w:rsidR="00DF6BDF" w:rsidRPr="00DF6BDF" w:rsidRDefault="00DF6BDF" w:rsidP="00DF6BDF">
            <w:pPr>
              <w:widowControl w:val="0"/>
              <w:pBdr>
                <w:top w:val="nil"/>
                <w:left w:val="nil"/>
                <w:bottom w:val="nil"/>
                <w:right w:val="nil"/>
                <w:between w:val="nil"/>
              </w:pBdr>
              <w:spacing w:line="240" w:lineRule="auto"/>
              <w:rPr>
                <w:rFonts w:ascii="Calibri" w:hAnsi="Calibri" w:cs="Calibri"/>
                <w:lang w:val="en-GB"/>
              </w:rPr>
            </w:pPr>
            <w:r w:rsidRPr="00DF6BDF">
              <w:rPr>
                <w:rFonts w:ascii="Calibri" w:hAnsi="Calibri" w:cs="Calibri"/>
                <w:lang w:val="en-GB"/>
              </w:rPr>
              <w:t xml:space="preserve">Teaching of Design and Technology is taught as part of a broad and balanced curriculum across all year groups, where clear progression can be shown across the key stages. The design process follows research, design, make and evaluate, with each stage rooted in technical knowledge. It is delivered in a careful sequence with a process, rooted in giving meaning to learning by linking it to relevant real-life contexts. This process allows pupils to build on previous learning across the key stages, whilst ensuring enough flexibility to allow children to make decisions themselves. To evaluate, children critique their own products against the design criteria. </w:t>
            </w:r>
          </w:p>
          <w:p w14:paraId="627B5C43" w14:textId="2E1D8900" w:rsidR="00FF06F9" w:rsidRPr="007A2A50" w:rsidRDefault="00DF6BDF" w:rsidP="00DF6BDF">
            <w:pPr>
              <w:widowControl w:val="0"/>
              <w:pBdr>
                <w:top w:val="nil"/>
                <w:left w:val="nil"/>
                <w:bottom w:val="nil"/>
                <w:right w:val="nil"/>
                <w:between w:val="nil"/>
              </w:pBdr>
              <w:spacing w:line="240" w:lineRule="auto"/>
              <w:rPr>
                <w:rFonts w:ascii="Calibri" w:hAnsi="Calibri" w:cs="Calibri"/>
                <w:lang w:val="en-GB"/>
              </w:rPr>
            </w:pPr>
            <w:r w:rsidRPr="00DF6BDF">
              <w:rPr>
                <w:rFonts w:ascii="Calibri" w:hAnsi="Calibri" w:cs="Calibri"/>
                <w:lang w:val="en-GB"/>
              </w:rPr>
              <w:t>Many DT units are based on planning from ‘Projects on a Page’: Mechanisms (sliders and levers, wheels and axles), Free Standing Structures, Textiles, Cooking and Nutrition, Leavers and Linkages, Textiles, Frame Structures, Gears and Pulleys, Electrical systems and CAD.</w:t>
            </w: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6A11FA3B"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Impact</w:t>
            </w:r>
          </w:p>
          <w:p w14:paraId="4EB98E49"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lastRenderedPageBreak/>
              <w:t>The impact of our DT curriculum is that children will leave primary school with a strong foundation in the principles of design and the confidence to apply their creative knowledge and practical skills. Through the evaluation of past and present design and technology, they develop a critical understanding of its impact on daily life and the wider world. The skills and attributes they develop will benefit them beyond school and into adulthood: the ability to use time efficiently, work with others productively, show initiative, independence, resilience and manage risks effectively will ensure well-rounded citizens who will make a difference in the wider world.</w:t>
            </w:r>
          </w:p>
          <w:p w14:paraId="3F947317"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They are able to:</w:t>
            </w:r>
          </w:p>
          <w:p w14:paraId="3D101AC3"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w:t>
            </w:r>
            <w:r w:rsidRPr="00BD5972">
              <w:rPr>
                <w:rFonts w:ascii="Calibri" w:hAnsi="Calibri" w:cs="Calibri"/>
                <w:lang w:val="en-US"/>
              </w:rPr>
              <w:tab/>
              <w:t>Demonstrate a progression of skills in designing, making, and evaluating.</w:t>
            </w:r>
          </w:p>
          <w:p w14:paraId="2DDF89C7"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w:t>
            </w:r>
            <w:r w:rsidRPr="00BD5972">
              <w:rPr>
                <w:rFonts w:ascii="Calibri" w:hAnsi="Calibri" w:cs="Calibri"/>
                <w:lang w:val="en-US"/>
              </w:rPr>
              <w:tab/>
              <w:t>Talk confidently about the design process and their learning journey.</w:t>
            </w:r>
          </w:p>
          <w:p w14:paraId="73B55016"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w:t>
            </w:r>
            <w:r w:rsidRPr="00BD5972">
              <w:rPr>
                <w:rFonts w:ascii="Calibri" w:hAnsi="Calibri" w:cs="Calibri"/>
                <w:lang w:val="en-US"/>
              </w:rPr>
              <w:tab/>
              <w:t>Understand the importance of design and technology in the wider world.</w:t>
            </w:r>
          </w:p>
          <w:p w14:paraId="0DCE500F"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w:t>
            </w:r>
            <w:r w:rsidRPr="00BD5972">
              <w:rPr>
                <w:rFonts w:ascii="Calibri" w:hAnsi="Calibri" w:cs="Calibri"/>
                <w:lang w:val="en-US"/>
              </w:rPr>
              <w:tab/>
              <w:t>Show pride in their creations and take responsibility for improving their work.</w:t>
            </w:r>
          </w:p>
          <w:p w14:paraId="3EE210DD"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w:t>
            </w:r>
            <w:r w:rsidRPr="00BD5972">
              <w:rPr>
                <w:rFonts w:ascii="Calibri" w:hAnsi="Calibri" w:cs="Calibri"/>
                <w:lang w:val="en-US"/>
              </w:rPr>
              <w:tab/>
              <w:t>Apply problem-solving and critical thinking skills to real-life situations.</w:t>
            </w:r>
          </w:p>
          <w:p w14:paraId="01ADB7B8" w14:textId="77777777" w:rsidR="00BD5972" w:rsidRPr="00BD5972"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w:t>
            </w:r>
            <w:r w:rsidRPr="00BD5972">
              <w:rPr>
                <w:rFonts w:ascii="Calibri" w:hAnsi="Calibri" w:cs="Calibri"/>
                <w:lang w:val="en-US"/>
              </w:rPr>
              <w:tab/>
              <w:t>Have a positive attitude towards challenges and learning from mistakes.</w:t>
            </w:r>
          </w:p>
          <w:p w14:paraId="70D3A8F3" w14:textId="006DC1A0" w:rsidR="00FF06F9" w:rsidRPr="007A2A50" w:rsidRDefault="00BD5972" w:rsidP="00BD5972">
            <w:pPr>
              <w:widowControl w:val="0"/>
              <w:pBdr>
                <w:top w:val="nil"/>
                <w:left w:val="nil"/>
                <w:bottom w:val="nil"/>
                <w:right w:val="nil"/>
                <w:between w:val="nil"/>
              </w:pBdr>
              <w:spacing w:line="240" w:lineRule="auto"/>
              <w:rPr>
                <w:rFonts w:ascii="Calibri" w:hAnsi="Calibri" w:cs="Calibri"/>
                <w:lang w:val="en-US"/>
              </w:rPr>
            </w:pPr>
            <w:r w:rsidRPr="00BD5972">
              <w:rPr>
                <w:rFonts w:ascii="Calibri" w:hAnsi="Calibri" w:cs="Calibri"/>
                <w:lang w:val="en-US"/>
              </w:rPr>
              <w:t>Pupil voice, outcomes in books/portfolios and ongoing formative assessments show that children enjoy DT and make good progress across the school. By the end of Key Stage 2, pupils are well-prepared for the DT curriculum in secondary school and have developed an enthusiasm for design, innovation and making a difference through their ideas.</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num w:numId="1" w16cid:durableId="142025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74630"/>
    <w:rsid w:val="000B08B5"/>
    <w:rsid w:val="0010051D"/>
    <w:rsid w:val="0025489F"/>
    <w:rsid w:val="002649BF"/>
    <w:rsid w:val="003446DE"/>
    <w:rsid w:val="00381B72"/>
    <w:rsid w:val="00383044"/>
    <w:rsid w:val="003C61E7"/>
    <w:rsid w:val="00426BD0"/>
    <w:rsid w:val="00446D51"/>
    <w:rsid w:val="00494796"/>
    <w:rsid w:val="004B17E4"/>
    <w:rsid w:val="004C097C"/>
    <w:rsid w:val="0050345D"/>
    <w:rsid w:val="00504CF4"/>
    <w:rsid w:val="00575267"/>
    <w:rsid w:val="005A420B"/>
    <w:rsid w:val="005C6166"/>
    <w:rsid w:val="00603A58"/>
    <w:rsid w:val="00633D90"/>
    <w:rsid w:val="00660B71"/>
    <w:rsid w:val="00685234"/>
    <w:rsid w:val="006A1589"/>
    <w:rsid w:val="006B3467"/>
    <w:rsid w:val="006C7BCC"/>
    <w:rsid w:val="006E5A36"/>
    <w:rsid w:val="007411A4"/>
    <w:rsid w:val="007A2A50"/>
    <w:rsid w:val="007E5BF8"/>
    <w:rsid w:val="008C6716"/>
    <w:rsid w:val="008F4A80"/>
    <w:rsid w:val="00915240"/>
    <w:rsid w:val="00955CF6"/>
    <w:rsid w:val="00A40074"/>
    <w:rsid w:val="00A85496"/>
    <w:rsid w:val="00AA5182"/>
    <w:rsid w:val="00AF4258"/>
    <w:rsid w:val="00B63C01"/>
    <w:rsid w:val="00BD5972"/>
    <w:rsid w:val="00C2453F"/>
    <w:rsid w:val="00CD61C1"/>
    <w:rsid w:val="00D225BE"/>
    <w:rsid w:val="00D867D1"/>
    <w:rsid w:val="00DF6BDF"/>
    <w:rsid w:val="00E10428"/>
    <w:rsid w:val="00E422A6"/>
    <w:rsid w:val="00E60E28"/>
    <w:rsid w:val="00E7007D"/>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399674CA-F029-4CFF-8D99-D097180EE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6</cp:revision>
  <dcterms:created xsi:type="dcterms:W3CDTF">2026-01-26T10:32:00Z</dcterms:created>
  <dcterms:modified xsi:type="dcterms:W3CDTF">2026-01-26T10:34:00Z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